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535" w:rsidRDefault="00D01535" w:rsidP="00D01535">
      <w:pPr>
        <w:jc w:val="center"/>
        <w:rPr>
          <w:b/>
          <w:bCs/>
          <w:sz w:val="32"/>
          <w:szCs w:val="32"/>
          <w:u w:val="single"/>
        </w:rPr>
      </w:pPr>
      <w:r>
        <w:rPr>
          <w:noProof/>
          <w:lang w:eastAsia="en-GB"/>
        </w:rPr>
        <w:drawing>
          <wp:inline distT="0" distB="0" distL="0" distR="0" wp14:anchorId="1F0EA506" wp14:editId="0FDD8E1B">
            <wp:extent cx="3829050" cy="119885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29050" cy="1198858"/>
                    </a:xfrm>
                    <a:prstGeom prst="rect">
                      <a:avLst/>
                    </a:prstGeom>
                  </pic:spPr>
                </pic:pic>
              </a:graphicData>
            </a:graphic>
          </wp:inline>
        </w:drawing>
      </w:r>
    </w:p>
    <w:p w:rsidR="00D01535" w:rsidRPr="006E403C" w:rsidRDefault="00D01535" w:rsidP="00D01535">
      <w:pPr>
        <w:jc w:val="center"/>
        <w:rPr>
          <w:b/>
          <w:bCs/>
          <w:sz w:val="52"/>
          <w:szCs w:val="32"/>
        </w:rPr>
      </w:pPr>
      <w:r w:rsidRPr="006E403C">
        <w:rPr>
          <w:b/>
          <w:bCs/>
          <w:sz w:val="52"/>
          <w:szCs w:val="32"/>
        </w:rPr>
        <w:t>SOP</w:t>
      </w:r>
    </w:p>
    <w:p w:rsidR="00D01535" w:rsidRDefault="00D01535" w:rsidP="00D01535">
      <w:pPr>
        <w:jc w:val="center"/>
      </w:pPr>
    </w:p>
    <w:p w:rsidR="00D01535" w:rsidRPr="003072EC" w:rsidRDefault="00D01535" w:rsidP="00D01535">
      <w:pPr>
        <w:rPr>
          <w:b/>
          <w:bCs/>
          <w:u w:val="single"/>
        </w:rPr>
      </w:pPr>
      <w:r w:rsidRPr="003072EC">
        <w:rPr>
          <w:b/>
          <w:bCs/>
          <w:u w:val="single"/>
        </w:rPr>
        <w:t>Update</w:t>
      </w:r>
      <w:r>
        <w:rPr>
          <w:b/>
          <w:bCs/>
          <w:u w:val="single"/>
        </w:rPr>
        <w:t xml:space="preserve"> 24.11.2021</w:t>
      </w:r>
    </w:p>
    <w:p w:rsidR="00D01535" w:rsidRDefault="00D01535" w:rsidP="00D01535"/>
    <w:p w:rsidR="00D01535" w:rsidRDefault="00D01535" w:rsidP="00D01535">
      <w:r>
        <w:t>Respiratory guidance has been published by PHE and the following is now the recommended pathway for patients, and there for the team, going forwards.  Local risk assessment is also required to fulfil the requirement of the health and safety at work act 1974 which can be read after the appendices.  The guidance can be read in full here:</w:t>
      </w:r>
    </w:p>
    <w:p w:rsidR="00D01535" w:rsidRDefault="00D01535" w:rsidP="00D01535"/>
    <w:p w:rsidR="00D01535" w:rsidRDefault="00D01535" w:rsidP="00D01535">
      <w:hyperlink r:id="rId5" w:history="1">
        <w:r w:rsidRPr="00660FC8">
          <w:rPr>
            <w:rStyle w:val="Hyperlink"/>
          </w:rPr>
          <w:t>https://www.gov.uk/government/publications/wuhan-novel-coronavirus-infection-prevention-and-control/covid-19-infection-prevention-and-control-dental-appendix</w:t>
        </w:r>
      </w:hyperlink>
      <w:r>
        <w:t xml:space="preserve"> </w:t>
      </w:r>
    </w:p>
    <w:p w:rsidR="00D01535" w:rsidRDefault="00D01535" w:rsidP="00D01535"/>
    <w:p w:rsidR="00D01535" w:rsidRPr="00FB42EB" w:rsidRDefault="00D01535" w:rsidP="00D01535">
      <w:pPr>
        <w:rPr>
          <w:u w:val="single"/>
        </w:rPr>
      </w:pPr>
      <w:r w:rsidRPr="00FB42EB">
        <w:rPr>
          <w:u w:val="single"/>
        </w:rPr>
        <w:t>What has changed?</w:t>
      </w:r>
    </w:p>
    <w:p w:rsidR="00D01535" w:rsidRDefault="00D01535" w:rsidP="00D01535"/>
    <w:p w:rsidR="00D01535" w:rsidRDefault="00D01535" w:rsidP="00D01535">
      <w:r>
        <w:t xml:space="preserve">The low, medium and high risk pathways have been removed.  Patients will now fall into one of two pre-screening pathways – </w:t>
      </w:r>
      <w:r w:rsidRPr="000229CC">
        <w:rPr>
          <w:b/>
          <w:bCs/>
        </w:rPr>
        <w:t xml:space="preserve">non respiratory </w:t>
      </w:r>
      <w:r>
        <w:t>or</w:t>
      </w:r>
      <w:r w:rsidRPr="000229CC">
        <w:rPr>
          <w:b/>
          <w:bCs/>
        </w:rPr>
        <w:t xml:space="preserve"> respiratory</w:t>
      </w:r>
      <w:r>
        <w:t xml:space="preserve"> thus:</w:t>
      </w:r>
    </w:p>
    <w:p w:rsidR="00D01535" w:rsidRDefault="00D01535" w:rsidP="00D01535"/>
    <w:p w:rsidR="00D01535" w:rsidRDefault="00D01535" w:rsidP="00D01535">
      <w:r>
        <w:t xml:space="preserve">Patients who are </w:t>
      </w:r>
      <w:r w:rsidRPr="00D01535">
        <w:rPr>
          <w:color w:val="2E74B5" w:themeColor="accent1" w:themeShade="BF"/>
        </w:rPr>
        <w:t xml:space="preserve">fit and well/ “non-respiratory pathway” </w:t>
      </w:r>
      <w:r>
        <w:t xml:space="preserve">are to be seen as per the pre </w:t>
      </w:r>
      <w:r w:rsidR="00F17D92">
        <w:t>Covid</w:t>
      </w:r>
      <w:r>
        <w:t xml:space="preserve"> protocols</w:t>
      </w:r>
    </w:p>
    <w:p w:rsidR="00D01535" w:rsidRPr="006E403C" w:rsidRDefault="00D01535" w:rsidP="00D01535">
      <w:pPr>
        <w:rPr>
          <w:b/>
        </w:rPr>
      </w:pPr>
      <w:r w:rsidRPr="006E403C">
        <w:rPr>
          <w:b/>
        </w:rPr>
        <w:t>Face coverings to be worn in the practice during the winter 21/22 season</w:t>
      </w:r>
    </w:p>
    <w:p w:rsidR="00D01535" w:rsidRPr="006E403C" w:rsidRDefault="00D01535" w:rsidP="00D01535">
      <w:pPr>
        <w:rPr>
          <w:b/>
        </w:rPr>
      </w:pPr>
      <w:r w:rsidRPr="006E403C">
        <w:rPr>
          <w:b/>
        </w:rPr>
        <w:t xml:space="preserve">No FFP or fallow time required for fit and well patients </w:t>
      </w:r>
    </w:p>
    <w:p w:rsidR="00D01535" w:rsidRDefault="00D01535" w:rsidP="00D01535"/>
    <w:p w:rsidR="00D01535" w:rsidRDefault="00D01535" w:rsidP="00D01535">
      <w:r>
        <w:t xml:space="preserve">Any patients reporting </w:t>
      </w:r>
      <w:r w:rsidRPr="00324123">
        <w:rPr>
          <w:color w:val="FF0000"/>
        </w:rPr>
        <w:t>respiratory symptoms</w:t>
      </w:r>
      <w:r>
        <w:rPr>
          <w:color w:val="FF0000"/>
        </w:rPr>
        <w:t>/”respiratory pathway”</w:t>
      </w:r>
      <w:r w:rsidRPr="00324123">
        <w:rPr>
          <w:color w:val="FF0000"/>
        </w:rPr>
        <w:t xml:space="preserve"> </w:t>
      </w:r>
      <w:r>
        <w:t xml:space="preserve">are preferably to be deferred or, if urgent, to be seen as per Covid IPC protocols </w:t>
      </w:r>
      <w:r w:rsidR="00F17D92">
        <w:t>i.e.</w:t>
      </w:r>
      <w:bookmarkStart w:id="0" w:name="_GoBack"/>
      <w:bookmarkEnd w:id="0"/>
      <w:r>
        <w:t xml:space="preserve"> FFP and fallow commensurate with ACH.</w:t>
      </w:r>
    </w:p>
    <w:p w:rsidR="00D01535" w:rsidRDefault="00D01535" w:rsidP="00D01535"/>
    <w:p w:rsidR="00D01535" w:rsidRPr="00D57D29" w:rsidRDefault="00D01535" w:rsidP="00D01535">
      <w:pPr>
        <w:rPr>
          <w:b/>
          <w:bCs/>
          <w:u w:val="single"/>
        </w:rPr>
      </w:pPr>
      <w:r w:rsidRPr="00D57D29">
        <w:rPr>
          <w:b/>
          <w:bCs/>
          <w:u w:val="single"/>
        </w:rPr>
        <w:t>Pre-screening patients</w:t>
      </w:r>
    </w:p>
    <w:p w:rsidR="00D01535" w:rsidRDefault="00D01535" w:rsidP="00D01535"/>
    <w:p w:rsidR="00D01535" w:rsidRDefault="00D01535" w:rsidP="00D01535">
      <w:r>
        <w:t>This will continue as per the previous guidance to ensure that any patients attending are experiencing no respiratory illness when they attend.  An example of pre-screening questions can be found at Appendix 1 – ideally this will be done a day prior to the appointment via phone, email or text for example and also when the patient arrives.</w:t>
      </w:r>
    </w:p>
    <w:p w:rsidR="00D01535" w:rsidRDefault="00D01535" w:rsidP="00D01535"/>
    <w:p w:rsidR="00D01535" w:rsidRPr="00D01535" w:rsidRDefault="00D01535" w:rsidP="00D01535">
      <w:pPr>
        <w:rPr>
          <w:color w:val="2E74B5" w:themeColor="accent1" w:themeShade="BF"/>
        </w:rPr>
      </w:pPr>
      <w:r w:rsidRPr="00D01535">
        <w:rPr>
          <w:color w:val="2E74B5" w:themeColor="accent1" w:themeShade="BF"/>
        </w:rPr>
        <w:t xml:space="preserve">If patients report they are fit and well then ALL pre </w:t>
      </w:r>
      <w:r w:rsidR="00F17D92" w:rsidRPr="00D01535">
        <w:rPr>
          <w:color w:val="2E74B5" w:themeColor="accent1" w:themeShade="BF"/>
        </w:rPr>
        <w:t>Covid</w:t>
      </w:r>
      <w:r w:rsidRPr="00D01535">
        <w:rPr>
          <w:color w:val="2E74B5" w:themeColor="accent1" w:themeShade="BF"/>
        </w:rPr>
        <w:t xml:space="preserve"> protocols are followed:</w:t>
      </w:r>
    </w:p>
    <w:p w:rsidR="00D01535" w:rsidRPr="00D01535" w:rsidRDefault="00D01535" w:rsidP="00D01535">
      <w:pPr>
        <w:rPr>
          <w:color w:val="2E74B5" w:themeColor="accent1" w:themeShade="BF"/>
        </w:rPr>
      </w:pPr>
      <w:r w:rsidRPr="00D01535">
        <w:rPr>
          <w:color w:val="2E74B5" w:themeColor="accent1" w:themeShade="BF"/>
        </w:rPr>
        <w:t xml:space="preserve">Face covering in the building, </w:t>
      </w:r>
    </w:p>
    <w:p w:rsidR="00D01535" w:rsidRPr="00D01535" w:rsidRDefault="00D01535" w:rsidP="00D01535">
      <w:pPr>
        <w:rPr>
          <w:color w:val="2E74B5" w:themeColor="accent1" w:themeShade="BF"/>
        </w:rPr>
      </w:pPr>
      <w:r w:rsidRPr="00D01535">
        <w:rPr>
          <w:color w:val="2E74B5" w:themeColor="accent1" w:themeShade="BF"/>
        </w:rPr>
        <w:t>No FFP</w:t>
      </w:r>
    </w:p>
    <w:p w:rsidR="00D01535" w:rsidRPr="00D01535" w:rsidRDefault="00D01535" w:rsidP="00D01535">
      <w:pPr>
        <w:rPr>
          <w:color w:val="2E74B5" w:themeColor="accent1" w:themeShade="BF"/>
        </w:rPr>
      </w:pPr>
      <w:r w:rsidRPr="00D01535">
        <w:rPr>
          <w:color w:val="2E74B5" w:themeColor="accent1" w:themeShade="BF"/>
        </w:rPr>
        <w:t xml:space="preserve">No fallow </w:t>
      </w:r>
    </w:p>
    <w:p w:rsidR="00D01535" w:rsidRPr="00D01535" w:rsidRDefault="00D01535" w:rsidP="00D01535">
      <w:pPr>
        <w:rPr>
          <w:color w:val="2E74B5" w:themeColor="accent1" w:themeShade="BF"/>
        </w:rPr>
      </w:pPr>
      <w:r w:rsidRPr="00D01535">
        <w:rPr>
          <w:color w:val="2E74B5" w:themeColor="accent1" w:themeShade="BF"/>
        </w:rPr>
        <w:t>Aprons/gowns can be worn if splash is expected</w:t>
      </w:r>
    </w:p>
    <w:p w:rsidR="00D01535" w:rsidRPr="00D01535" w:rsidRDefault="00D01535" w:rsidP="00D01535">
      <w:pPr>
        <w:rPr>
          <w:color w:val="2E74B5" w:themeColor="accent1" w:themeShade="BF"/>
        </w:rPr>
      </w:pPr>
      <w:r w:rsidRPr="00D01535">
        <w:rPr>
          <w:color w:val="2E74B5" w:themeColor="accent1" w:themeShade="BF"/>
        </w:rPr>
        <w:t xml:space="preserve">Normal pre </w:t>
      </w:r>
      <w:r w:rsidR="00F17D92" w:rsidRPr="00D01535">
        <w:rPr>
          <w:color w:val="2E74B5" w:themeColor="accent1" w:themeShade="BF"/>
        </w:rPr>
        <w:t>Covid</w:t>
      </w:r>
      <w:r w:rsidRPr="00D01535">
        <w:rPr>
          <w:color w:val="2E74B5" w:themeColor="accent1" w:themeShade="BF"/>
        </w:rPr>
        <w:t xml:space="preserve"> cleaning</w:t>
      </w:r>
    </w:p>
    <w:p w:rsidR="00D01535" w:rsidRPr="006E403C" w:rsidRDefault="00D01535" w:rsidP="00D01535">
      <w:pPr>
        <w:rPr>
          <w:color w:val="1F4E79" w:themeColor="accent1" w:themeShade="80"/>
        </w:rPr>
      </w:pPr>
    </w:p>
    <w:p w:rsidR="00D01535" w:rsidRDefault="00D01535" w:rsidP="00D01535">
      <w:pPr>
        <w:rPr>
          <w:i/>
          <w:iCs/>
          <w:color w:val="FF0000"/>
        </w:rPr>
      </w:pPr>
      <w:r w:rsidRPr="00324123">
        <w:rPr>
          <w:i/>
          <w:iCs/>
          <w:color w:val="FF0000"/>
        </w:rPr>
        <w:lastRenderedPageBreak/>
        <w:t xml:space="preserve">If patients report that they are </w:t>
      </w:r>
      <w:r w:rsidRPr="00324123">
        <w:rPr>
          <w:b/>
          <w:bCs/>
          <w:i/>
          <w:iCs/>
          <w:color w:val="FF0000"/>
        </w:rPr>
        <w:t>not</w:t>
      </w:r>
      <w:r w:rsidRPr="00324123">
        <w:rPr>
          <w:i/>
          <w:iCs/>
          <w:color w:val="FF0000"/>
        </w:rPr>
        <w:t xml:space="preserve"> well with respiratory symptoms, then</w:t>
      </w:r>
      <w:r>
        <w:rPr>
          <w:i/>
          <w:iCs/>
          <w:color w:val="FF0000"/>
        </w:rPr>
        <w:t>:</w:t>
      </w:r>
      <w:r w:rsidRPr="00324123">
        <w:rPr>
          <w:i/>
          <w:iCs/>
          <w:color w:val="FF0000"/>
        </w:rPr>
        <w:t xml:space="preserve"> </w:t>
      </w:r>
    </w:p>
    <w:p w:rsidR="00D01535" w:rsidRDefault="00D01535" w:rsidP="00D01535">
      <w:pPr>
        <w:rPr>
          <w:i/>
          <w:iCs/>
          <w:color w:val="FF0000"/>
        </w:rPr>
      </w:pPr>
      <w:r>
        <w:rPr>
          <w:i/>
          <w:iCs/>
          <w:color w:val="FF0000"/>
        </w:rPr>
        <w:t>I</w:t>
      </w:r>
      <w:r w:rsidRPr="00324123">
        <w:rPr>
          <w:i/>
          <w:iCs/>
          <w:color w:val="FF0000"/>
        </w:rPr>
        <w:t>deally treatment should be deferred</w:t>
      </w:r>
    </w:p>
    <w:p w:rsidR="00D01535" w:rsidRDefault="00D01535" w:rsidP="00D01535">
      <w:pPr>
        <w:rPr>
          <w:i/>
          <w:iCs/>
          <w:color w:val="FF0000"/>
        </w:rPr>
      </w:pPr>
      <w:r w:rsidRPr="00324123">
        <w:rPr>
          <w:i/>
          <w:iCs/>
          <w:color w:val="FF0000"/>
        </w:rPr>
        <w:t xml:space="preserve">If the patient requires </w:t>
      </w:r>
      <w:r w:rsidRPr="00324123">
        <w:rPr>
          <w:b/>
          <w:bCs/>
          <w:i/>
          <w:iCs/>
          <w:color w:val="FF0000"/>
          <w:u w:val="single"/>
        </w:rPr>
        <w:t>urgent</w:t>
      </w:r>
      <w:r w:rsidRPr="00324123">
        <w:rPr>
          <w:i/>
          <w:iCs/>
          <w:color w:val="FF0000"/>
        </w:rPr>
        <w:t xml:space="preserve"> treatmen</w:t>
      </w:r>
      <w:r>
        <w:rPr>
          <w:i/>
          <w:iCs/>
          <w:color w:val="FF0000"/>
        </w:rPr>
        <w:t>t:</w:t>
      </w:r>
    </w:p>
    <w:p w:rsidR="00D01535" w:rsidRDefault="00D01535" w:rsidP="00D01535">
      <w:pPr>
        <w:rPr>
          <w:i/>
          <w:iCs/>
          <w:color w:val="FF0000"/>
        </w:rPr>
      </w:pPr>
      <w:r>
        <w:rPr>
          <w:i/>
          <w:iCs/>
          <w:color w:val="FF0000"/>
        </w:rPr>
        <w:t>T</w:t>
      </w:r>
      <w:r w:rsidRPr="00324123">
        <w:rPr>
          <w:i/>
          <w:iCs/>
          <w:color w:val="FF0000"/>
        </w:rPr>
        <w:t>hen the respiratory pathway should be followed</w:t>
      </w:r>
      <w:r>
        <w:rPr>
          <w:i/>
          <w:iCs/>
          <w:color w:val="FF0000"/>
        </w:rPr>
        <w:t xml:space="preserve"> thus:</w:t>
      </w:r>
    </w:p>
    <w:p w:rsidR="00D01535" w:rsidRDefault="00D01535" w:rsidP="00D01535">
      <w:pPr>
        <w:rPr>
          <w:i/>
          <w:iCs/>
          <w:color w:val="FF0000"/>
        </w:rPr>
      </w:pPr>
      <w:r>
        <w:rPr>
          <w:i/>
          <w:iCs/>
          <w:color w:val="FF0000"/>
        </w:rPr>
        <w:t>FRSM/surgical mask in the building</w:t>
      </w:r>
    </w:p>
    <w:p w:rsidR="00D01535" w:rsidRDefault="00D01535" w:rsidP="00D01535">
      <w:pPr>
        <w:rPr>
          <w:i/>
          <w:iCs/>
          <w:color w:val="FF0000"/>
        </w:rPr>
      </w:pPr>
      <w:r>
        <w:rPr>
          <w:i/>
          <w:iCs/>
          <w:color w:val="FF0000"/>
        </w:rPr>
        <w:t xml:space="preserve">FFP3 </w:t>
      </w:r>
    </w:p>
    <w:p w:rsidR="00D01535" w:rsidRDefault="00D01535" w:rsidP="00D01535">
      <w:pPr>
        <w:rPr>
          <w:i/>
          <w:iCs/>
          <w:color w:val="FF0000"/>
        </w:rPr>
      </w:pPr>
      <w:r>
        <w:rPr>
          <w:i/>
          <w:iCs/>
          <w:color w:val="FF0000"/>
        </w:rPr>
        <w:t>Fallow commensurate with ACH</w:t>
      </w:r>
    </w:p>
    <w:p w:rsidR="00D01535" w:rsidRDefault="00D01535" w:rsidP="00D01535">
      <w:pPr>
        <w:rPr>
          <w:i/>
          <w:iCs/>
          <w:color w:val="FF0000"/>
        </w:rPr>
      </w:pPr>
      <w:r>
        <w:rPr>
          <w:i/>
          <w:iCs/>
          <w:color w:val="FF0000"/>
        </w:rPr>
        <w:t>Gowns/aprons to cover uniform</w:t>
      </w:r>
      <w:r w:rsidRPr="00324123">
        <w:rPr>
          <w:i/>
          <w:iCs/>
          <w:color w:val="FF0000"/>
        </w:rPr>
        <w:t xml:space="preserve">. </w:t>
      </w:r>
    </w:p>
    <w:p w:rsidR="00D01535" w:rsidRDefault="00D01535" w:rsidP="00D01535">
      <w:pPr>
        <w:rPr>
          <w:i/>
          <w:iCs/>
          <w:color w:val="FF0000"/>
        </w:rPr>
      </w:pPr>
    </w:p>
    <w:p w:rsidR="00D01535" w:rsidRDefault="00D01535" w:rsidP="00D01535">
      <w:pPr>
        <w:rPr>
          <w:color w:val="000000" w:themeColor="text1"/>
        </w:rPr>
      </w:pPr>
      <w:r>
        <w:rPr>
          <w:color w:val="000000" w:themeColor="text1"/>
        </w:rPr>
        <w:t>How to choose the respiratory pathway algorithm is at Appendix 2</w:t>
      </w:r>
    </w:p>
    <w:p w:rsidR="00D01535" w:rsidRDefault="00D01535" w:rsidP="00D01535">
      <w:pPr>
        <w:rPr>
          <w:color w:val="000000" w:themeColor="text1"/>
        </w:rPr>
      </w:pPr>
    </w:p>
    <w:p w:rsidR="00D01535" w:rsidRDefault="00D01535" w:rsidP="00D01535">
      <w:pPr>
        <w:rPr>
          <w:color w:val="000000" w:themeColor="text1"/>
        </w:rPr>
      </w:pPr>
      <w:r>
        <w:rPr>
          <w:color w:val="000000" w:themeColor="text1"/>
        </w:rPr>
        <w:t xml:space="preserve">Lighthouse Dental Practice will carry out individual Risk assessments during these times. </w:t>
      </w:r>
    </w:p>
    <w:p w:rsidR="00D01535" w:rsidRDefault="00D01535" w:rsidP="00D01535">
      <w:pPr>
        <w:rPr>
          <w:color w:val="000000" w:themeColor="text1"/>
        </w:rPr>
      </w:pPr>
    </w:p>
    <w:p w:rsidR="00D01535" w:rsidRPr="00324123" w:rsidRDefault="00D01535" w:rsidP="00D01535">
      <w:pPr>
        <w:rPr>
          <w:b/>
          <w:bCs/>
          <w:u w:val="single"/>
        </w:rPr>
      </w:pPr>
      <w:r w:rsidRPr="00324123">
        <w:rPr>
          <w:b/>
          <w:bCs/>
          <w:u w:val="single"/>
        </w:rPr>
        <w:t>PPE and RPE</w:t>
      </w:r>
      <w:r>
        <w:rPr>
          <w:b/>
          <w:bCs/>
          <w:u w:val="single"/>
        </w:rPr>
        <w:t xml:space="preserve"> (Respiratory Protective Equipment)</w:t>
      </w:r>
    </w:p>
    <w:p w:rsidR="00D01535" w:rsidRDefault="00D01535" w:rsidP="00D01535"/>
    <w:p w:rsidR="00D01535" w:rsidRPr="006E403C" w:rsidRDefault="00D01535" w:rsidP="00D01535">
      <w:r w:rsidRPr="006E403C">
        <w:t>A surgical mask or FRSM is worn as per usual for all procedures and changed after each patient.</w:t>
      </w:r>
    </w:p>
    <w:p w:rsidR="00D01535" w:rsidRDefault="00D01535" w:rsidP="00D01535">
      <w:pPr>
        <w:rPr>
          <w:color w:val="538135" w:themeColor="accent6" w:themeShade="BF"/>
        </w:rPr>
      </w:pPr>
    </w:p>
    <w:p w:rsidR="00D01535" w:rsidRPr="00324123" w:rsidRDefault="00D01535" w:rsidP="00D01535">
      <w:pPr>
        <w:rPr>
          <w:color w:val="000000" w:themeColor="text1"/>
        </w:rPr>
      </w:pPr>
      <w:r w:rsidRPr="00324123">
        <w:rPr>
          <w:color w:val="000000" w:themeColor="text1"/>
        </w:rPr>
        <w:t xml:space="preserve">RPE </w:t>
      </w:r>
      <w:r>
        <w:rPr>
          <w:color w:val="000000" w:themeColor="text1"/>
        </w:rPr>
        <w:t xml:space="preserve">of FFP </w:t>
      </w:r>
      <w:r w:rsidRPr="00324123">
        <w:rPr>
          <w:color w:val="000000" w:themeColor="text1"/>
        </w:rPr>
        <w:t>can be worn if the team decides they wish to</w:t>
      </w:r>
      <w:r>
        <w:rPr>
          <w:color w:val="000000" w:themeColor="text1"/>
        </w:rPr>
        <w:t xml:space="preserve"> or</w:t>
      </w:r>
      <w:r w:rsidRPr="00324123">
        <w:rPr>
          <w:color w:val="000000" w:themeColor="text1"/>
        </w:rPr>
        <w:t xml:space="preserve"> if local risk assessment shows that </w:t>
      </w:r>
      <w:r>
        <w:rPr>
          <w:color w:val="000000" w:themeColor="text1"/>
        </w:rPr>
        <w:t>this is required.</w:t>
      </w:r>
    </w:p>
    <w:p w:rsidR="00D01535" w:rsidRDefault="00D01535" w:rsidP="00D01535">
      <w:pPr>
        <w:rPr>
          <w:color w:val="000000" w:themeColor="text1"/>
        </w:rPr>
      </w:pPr>
    </w:p>
    <w:p w:rsidR="00D01535" w:rsidRPr="00054D79" w:rsidRDefault="00D01535" w:rsidP="00D01535">
      <w:pPr>
        <w:rPr>
          <w:b/>
          <w:bCs/>
          <w:color w:val="000000" w:themeColor="text1"/>
          <w:u w:val="single"/>
        </w:rPr>
      </w:pPr>
      <w:r w:rsidRPr="00054D79">
        <w:rPr>
          <w:b/>
          <w:bCs/>
          <w:color w:val="000000" w:themeColor="text1"/>
          <w:u w:val="single"/>
        </w:rPr>
        <w:t xml:space="preserve">Testing </w:t>
      </w:r>
    </w:p>
    <w:p w:rsidR="00D01535" w:rsidRDefault="00D01535" w:rsidP="00D01535">
      <w:pPr>
        <w:rPr>
          <w:color w:val="000000" w:themeColor="text1"/>
        </w:rPr>
      </w:pPr>
    </w:p>
    <w:p w:rsidR="00D01535" w:rsidRDefault="00D01535" w:rsidP="00D01535">
      <w:pPr>
        <w:rPr>
          <w:color w:val="000000" w:themeColor="text1"/>
        </w:rPr>
      </w:pPr>
      <w:r w:rsidRPr="006E403C">
        <w:rPr>
          <w:b/>
          <w:color w:val="000000" w:themeColor="text1"/>
        </w:rPr>
        <w:t>Asymptomatic staff must self-test twice per week as per England’s guidance</w:t>
      </w:r>
      <w:r>
        <w:rPr>
          <w:color w:val="000000" w:themeColor="text1"/>
        </w:rPr>
        <w:t xml:space="preserve"> on asymptomatic testing.  </w:t>
      </w:r>
      <w:r w:rsidRPr="006E403C">
        <w:rPr>
          <w:b/>
          <w:color w:val="000000" w:themeColor="text1"/>
        </w:rPr>
        <w:t xml:space="preserve">Results </w:t>
      </w:r>
      <w:r w:rsidRPr="006E403C">
        <w:rPr>
          <w:b/>
          <w:color w:val="000000" w:themeColor="text1"/>
          <w:u w:val="single"/>
        </w:rPr>
        <w:t>must</w:t>
      </w:r>
      <w:r w:rsidRPr="006E403C">
        <w:rPr>
          <w:b/>
          <w:color w:val="000000" w:themeColor="text1"/>
        </w:rPr>
        <w:t xml:space="preserve"> be reported on the NHS portal</w:t>
      </w:r>
      <w:r>
        <w:rPr>
          <w:color w:val="000000" w:themeColor="text1"/>
        </w:rPr>
        <w:t xml:space="preserve">. Test kits can be ordered here: </w:t>
      </w:r>
      <w:hyperlink r:id="rId6" w:history="1">
        <w:r w:rsidRPr="00660FC8">
          <w:rPr>
            <w:rStyle w:val="Hyperlink"/>
          </w:rPr>
          <w:t>https://www.gov.uk/order-coronavirus-rapid-lateral-flow-tests</w:t>
        </w:r>
      </w:hyperlink>
      <w:r>
        <w:rPr>
          <w:color w:val="000000" w:themeColor="text1"/>
        </w:rPr>
        <w:t xml:space="preserve"> </w:t>
      </w:r>
    </w:p>
    <w:p w:rsidR="00D01535" w:rsidRPr="006E403C" w:rsidRDefault="00D01535" w:rsidP="00D01535">
      <w:pPr>
        <w:rPr>
          <w:b/>
          <w:color w:val="000000" w:themeColor="text1"/>
        </w:rPr>
      </w:pPr>
    </w:p>
    <w:p w:rsidR="00D01535" w:rsidRPr="006E403C" w:rsidRDefault="00D01535" w:rsidP="00D01535">
      <w:pPr>
        <w:rPr>
          <w:b/>
          <w:color w:val="000000" w:themeColor="text1"/>
        </w:rPr>
      </w:pPr>
      <w:r w:rsidRPr="006E403C">
        <w:rPr>
          <w:b/>
          <w:color w:val="000000" w:themeColor="text1"/>
        </w:rPr>
        <w:t>Patients do not require testing prior to their appointment</w:t>
      </w:r>
    </w:p>
    <w:p w:rsidR="00D01535" w:rsidRPr="006E403C" w:rsidRDefault="00D01535" w:rsidP="00D01535">
      <w:pPr>
        <w:rPr>
          <w:color w:val="000000" w:themeColor="text1"/>
        </w:rPr>
      </w:pPr>
    </w:p>
    <w:p w:rsidR="00D01535" w:rsidRPr="00A75D67" w:rsidRDefault="00D01535" w:rsidP="00D01535">
      <w:pPr>
        <w:rPr>
          <w:color w:val="000000" w:themeColor="text1"/>
        </w:rPr>
      </w:pPr>
    </w:p>
    <w:p w:rsidR="00D01535" w:rsidRPr="00EC1EB4" w:rsidRDefault="00D01535" w:rsidP="00D01535">
      <w:pPr>
        <w:rPr>
          <w:color w:val="FF0000"/>
        </w:rPr>
      </w:pPr>
      <w:r>
        <w:rPr>
          <w:noProof/>
          <w:lang w:eastAsia="en-GB"/>
        </w:rPr>
        <w:lastRenderedPageBreak/>
        <w:drawing>
          <wp:inline distT="0" distB="0" distL="0" distR="0" wp14:anchorId="41A15AC1" wp14:editId="662379C0">
            <wp:extent cx="5727700" cy="6911340"/>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27700" cy="6911340"/>
                    </a:xfrm>
                    <a:prstGeom prst="rect">
                      <a:avLst/>
                    </a:prstGeom>
                  </pic:spPr>
                </pic:pic>
              </a:graphicData>
            </a:graphic>
          </wp:inline>
        </w:drawing>
      </w:r>
    </w:p>
    <w:p w:rsidR="00D01535" w:rsidRPr="00EC1EB4" w:rsidRDefault="00D01535" w:rsidP="00D01535">
      <w:pPr>
        <w:rPr>
          <w:color w:val="FF0000"/>
        </w:rPr>
      </w:pPr>
    </w:p>
    <w:p w:rsidR="00D01535" w:rsidRPr="00EC1EB4" w:rsidRDefault="00D01535" w:rsidP="00D01535">
      <w:pPr>
        <w:rPr>
          <w:color w:val="FF0000"/>
        </w:rPr>
      </w:pPr>
    </w:p>
    <w:p w:rsidR="00D01535" w:rsidRPr="00EC1EB4" w:rsidRDefault="00D01535" w:rsidP="00D01535">
      <w:pPr>
        <w:rPr>
          <w:color w:val="FF0000"/>
        </w:rPr>
      </w:pPr>
    </w:p>
    <w:p w:rsidR="00D01535" w:rsidRPr="00EC1EB4" w:rsidRDefault="00D01535" w:rsidP="00D01535">
      <w:pPr>
        <w:rPr>
          <w:color w:val="FF0000"/>
        </w:rPr>
      </w:pPr>
    </w:p>
    <w:p w:rsidR="00D01535" w:rsidRPr="00EC1EB4" w:rsidRDefault="00D01535" w:rsidP="00D01535">
      <w:pPr>
        <w:rPr>
          <w:color w:val="FF0000"/>
        </w:rPr>
      </w:pPr>
    </w:p>
    <w:p w:rsidR="00D01535" w:rsidRPr="00EC1EB4" w:rsidRDefault="00D01535" w:rsidP="00D01535">
      <w:pPr>
        <w:rPr>
          <w:color w:val="FF0000"/>
        </w:rPr>
      </w:pPr>
    </w:p>
    <w:p w:rsidR="00D01535" w:rsidRDefault="00D01535" w:rsidP="00D01535">
      <w:pPr>
        <w:rPr>
          <w:color w:val="FF0000"/>
        </w:rPr>
      </w:pPr>
    </w:p>
    <w:p w:rsidR="00D01535" w:rsidRDefault="00D01535" w:rsidP="00D01535">
      <w:pPr>
        <w:rPr>
          <w:color w:val="FF0000"/>
        </w:rPr>
      </w:pPr>
    </w:p>
    <w:p w:rsidR="00D01535" w:rsidRDefault="00D01535" w:rsidP="00D01535">
      <w:pPr>
        <w:rPr>
          <w:color w:val="FF0000"/>
        </w:rPr>
      </w:pPr>
    </w:p>
    <w:p w:rsidR="00D01535" w:rsidRDefault="00D01535" w:rsidP="00D01535">
      <w:pPr>
        <w:rPr>
          <w:color w:val="FF0000"/>
        </w:rPr>
      </w:pPr>
    </w:p>
    <w:p w:rsidR="00D01535" w:rsidRDefault="00D01535" w:rsidP="00D01535">
      <w:pPr>
        <w:rPr>
          <w:color w:val="000000" w:themeColor="text1"/>
          <w:sz w:val="32"/>
          <w:szCs w:val="32"/>
        </w:rPr>
      </w:pPr>
      <w:r w:rsidRPr="00FB42EB">
        <w:rPr>
          <w:color w:val="000000" w:themeColor="text1"/>
          <w:sz w:val="32"/>
          <w:szCs w:val="32"/>
        </w:rPr>
        <w:lastRenderedPageBreak/>
        <w:t>Appendix 2</w:t>
      </w:r>
    </w:p>
    <w:p w:rsidR="00D01535" w:rsidRDefault="00D01535" w:rsidP="00D01535">
      <w:pPr>
        <w:rPr>
          <w:color w:val="000000" w:themeColor="text1"/>
          <w:sz w:val="32"/>
          <w:szCs w:val="32"/>
        </w:rPr>
      </w:pPr>
    </w:p>
    <w:p w:rsidR="00D01535" w:rsidRPr="00FB42EB" w:rsidRDefault="00D01535" w:rsidP="00D01535">
      <w:pPr>
        <w:rPr>
          <w:color w:val="000000" w:themeColor="text1"/>
        </w:rPr>
      </w:pPr>
      <w:r w:rsidRPr="00FB42EB">
        <w:rPr>
          <w:color w:val="000000" w:themeColor="text1"/>
        </w:rPr>
        <w:t>Choosing the respiratory pathways</w:t>
      </w:r>
    </w:p>
    <w:p w:rsidR="00797C73" w:rsidRDefault="00D01535" w:rsidP="00D01535">
      <w:r w:rsidRPr="00064E5D">
        <w:rPr>
          <w:rFonts w:ascii="Times New Roman" w:eastAsia="Times New Roman" w:hAnsi="Times New Roman" w:cs="Times New Roman"/>
          <w:lang w:eastAsia="en-GB"/>
        </w:rPr>
        <w:fldChar w:fldCharType="begin"/>
      </w:r>
      <w:r>
        <w:rPr>
          <w:rFonts w:ascii="Times New Roman" w:eastAsia="Times New Roman" w:hAnsi="Times New Roman" w:cs="Times New Roman"/>
          <w:lang w:eastAsia="en-GB"/>
        </w:rPr>
        <w:instrText xml:space="preserve"> INCLUDEPICTURE "C:\\var\\folders\\n9\\6pzgvz_n547d79_vw9v8dymm0000gn\\T\\com.microsoft.Word\\WebArchiveCopyPasteTempFiles\\Figure_1_ipc-dental2.jpg" \* MERGEFORMAT </w:instrText>
      </w:r>
      <w:r w:rsidRPr="00064E5D">
        <w:rPr>
          <w:rFonts w:ascii="Times New Roman" w:eastAsia="Times New Roman" w:hAnsi="Times New Roman" w:cs="Times New Roman"/>
          <w:lang w:eastAsia="en-GB"/>
        </w:rPr>
        <w:fldChar w:fldCharType="separate"/>
      </w:r>
      <w:r w:rsidRPr="00064E5D">
        <w:rPr>
          <w:rFonts w:ascii="Times New Roman" w:eastAsia="Times New Roman" w:hAnsi="Times New Roman" w:cs="Times New Roman"/>
          <w:noProof/>
          <w:lang w:eastAsia="en-GB"/>
        </w:rPr>
        <w:drawing>
          <wp:inline distT="0" distB="0" distL="0" distR="0" wp14:anchorId="7A029A35" wp14:editId="50E2CCD4">
            <wp:extent cx="5727700" cy="3818255"/>
            <wp:effectExtent l="0" t="0" r="0" b="4445"/>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3818255"/>
                    </a:xfrm>
                    <a:prstGeom prst="rect">
                      <a:avLst/>
                    </a:prstGeom>
                    <a:noFill/>
                    <a:ln>
                      <a:noFill/>
                    </a:ln>
                  </pic:spPr>
                </pic:pic>
              </a:graphicData>
            </a:graphic>
          </wp:inline>
        </w:drawing>
      </w:r>
      <w:r w:rsidRPr="00064E5D">
        <w:rPr>
          <w:rFonts w:ascii="Times New Roman" w:eastAsia="Times New Roman" w:hAnsi="Times New Roman" w:cs="Times New Roman"/>
          <w:lang w:eastAsia="en-GB"/>
        </w:rPr>
        <w:fldChar w:fldCharType="end"/>
      </w:r>
    </w:p>
    <w:sectPr w:rsidR="00797C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35"/>
    <w:rsid w:val="008229DD"/>
    <w:rsid w:val="00AC15C5"/>
    <w:rsid w:val="00C9182B"/>
    <w:rsid w:val="00D01535"/>
    <w:rsid w:val="00DF55B9"/>
    <w:rsid w:val="00F17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9370F-DA0A-49DE-87C6-07ABCBC3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53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5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order-coronavirus-rapid-lateral-flow-tests" TargetMode="External"/><Relationship Id="rId5" Type="http://schemas.openxmlformats.org/officeDocument/2006/relationships/hyperlink" Target="https://www.gov.uk/government/publications/wuhan-novel-coronavirus-infection-prevention-and-control/covid-19-infection-prevention-and-control-dental-appendix"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Gowers Dental</dc:creator>
  <cp:keywords/>
  <dc:description/>
  <cp:lastModifiedBy>Gowers Dental</cp:lastModifiedBy>
  <cp:revision>2</cp:revision>
  <dcterms:created xsi:type="dcterms:W3CDTF">2021-11-25T11:05:00Z</dcterms:created>
  <dcterms:modified xsi:type="dcterms:W3CDTF">2021-11-25T11:11:00Z</dcterms:modified>
</cp:coreProperties>
</file>